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CE3" w:rsidRPr="000E7BF4" w:rsidRDefault="00B60CE3" w:rsidP="00EE2BE9">
      <w:pPr>
        <w:spacing w:after="0"/>
        <w:jc w:val="center"/>
        <w:rPr>
          <w:b/>
          <w:color w:val="0070C0"/>
          <w:sz w:val="32"/>
          <w:szCs w:val="24"/>
        </w:rPr>
      </w:pPr>
      <w:r w:rsidRPr="000E7BF4">
        <w:rPr>
          <w:b/>
          <w:color w:val="0070C0"/>
          <w:sz w:val="32"/>
          <w:szCs w:val="24"/>
        </w:rPr>
        <w:t xml:space="preserve">NUOVO </w:t>
      </w:r>
      <w:r w:rsidR="00A74F43" w:rsidRPr="000E7BF4">
        <w:rPr>
          <w:b/>
          <w:color w:val="0070C0"/>
          <w:sz w:val="32"/>
          <w:szCs w:val="24"/>
        </w:rPr>
        <w:t>PIANO SOCIOSANITARIO DEL VENETO</w:t>
      </w:r>
    </w:p>
    <w:p w:rsidR="00A74F43" w:rsidRPr="000E7BF4" w:rsidRDefault="00A74F43" w:rsidP="00EE2BE9">
      <w:pPr>
        <w:spacing w:after="0"/>
        <w:jc w:val="center"/>
        <w:rPr>
          <w:b/>
          <w:color w:val="FF0000"/>
          <w:sz w:val="32"/>
          <w:szCs w:val="24"/>
        </w:rPr>
      </w:pPr>
      <w:r w:rsidRPr="000E7BF4">
        <w:rPr>
          <w:b/>
          <w:color w:val="FF0000"/>
          <w:sz w:val="32"/>
          <w:szCs w:val="24"/>
        </w:rPr>
        <w:t>Le proposte del Partito Democratico</w:t>
      </w:r>
    </w:p>
    <w:p w:rsidR="00C17208" w:rsidRPr="000E7BF4" w:rsidRDefault="00C17208" w:rsidP="00EE2BE9">
      <w:pPr>
        <w:spacing w:after="0"/>
        <w:jc w:val="both"/>
        <w:rPr>
          <w:b/>
          <w:color w:val="FF0000"/>
          <w:sz w:val="24"/>
          <w:szCs w:val="24"/>
        </w:rPr>
      </w:pPr>
    </w:p>
    <w:p w:rsidR="00A74F43" w:rsidRPr="000E7BF4" w:rsidRDefault="00307B9F" w:rsidP="00EE2BE9">
      <w:pPr>
        <w:spacing w:after="0"/>
        <w:jc w:val="both"/>
        <w:rPr>
          <w:b/>
          <w:color w:val="0070C0"/>
          <w:sz w:val="24"/>
          <w:szCs w:val="24"/>
        </w:rPr>
      </w:pPr>
      <w:r w:rsidRPr="000E7BF4">
        <w:rPr>
          <w:b/>
          <w:color w:val="0070C0"/>
          <w:sz w:val="24"/>
          <w:szCs w:val="24"/>
        </w:rPr>
        <w:t>1.</w:t>
      </w:r>
      <w:r w:rsidR="00EE2BE9" w:rsidRPr="000E7BF4">
        <w:rPr>
          <w:b/>
          <w:color w:val="0070C0"/>
          <w:sz w:val="24"/>
          <w:szCs w:val="24"/>
        </w:rPr>
        <w:t xml:space="preserve"> </w:t>
      </w:r>
      <w:r w:rsidR="00A74F43" w:rsidRPr="000E7BF4">
        <w:rPr>
          <w:b/>
          <w:color w:val="0070C0"/>
          <w:sz w:val="24"/>
          <w:szCs w:val="24"/>
        </w:rPr>
        <w:t>TUTTI I NON AUTOSUFFICENTI IN SERIE A</w:t>
      </w:r>
    </w:p>
    <w:p w:rsidR="00B24CBB" w:rsidRPr="000E7BF4" w:rsidRDefault="00B24CBB" w:rsidP="00B24CBB">
      <w:pPr>
        <w:spacing w:after="0"/>
        <w:jc w:val="both"/>
        <w:rPr>
          <w:b/>
          <w:sz w:val="24"/>
          <w:szCs w:val="24"/>
        </w:rPr>
      </w:pPr>
      <w:r w:rsidRPr="000E7BF4">
        <w:rPr>
          <w:b/>
          <w:sz w:val="24"/>
          <w:szCs w:val="24"/>
        </w:rPr>
        <w:t>In Veneto ci sono 34.000 posti letto per non autosufficienti, ma solo 24.700 con il contributo sanitario regionale.</w:t>
      </w:r>
      <w:r w:rsidR="00245111" w:rsidRPr="000E7BF4">
        <w:rPr>
          <w:b/>
          <w:sz w:val="24"/>
          <w:szCs w:val="24"/>
        </w:rPr>
        <w:t xml:space="preserve"> </w:t>
      </w:r>
      <w:r w:rsidRPr="000E7BF4">
        <w:rPr>
          <w:b/>
          <w:sz w:val="24"/>
          <w:szCs w:val="24"/>
        </w:rPr>
        <w:t>Ci sono anziani di serie A, con il contributo, e di serie B (almeno 9.000), che si pagano l’intera retta di ricovero (minimo 2.300 euro al mese).</w:t>
      </w:r>
    </w:p>
    <w:p w:rsidR="00EE2BE9" w:rsidRPr="000E7BF4" w:rsidRDefault="00B24CBB" w:rsidP="00B24CBB">
      <w:pPr>
        <w:spacing w:after="0"/>
        <w:jc w:val="both"/>
        <w:rPr>
          <w:b/>
          <w:color w:val="FF0000"/>
          <w:sz w:val="24"/>
          <w:szCs w:val="24"/>
        </w:rPr>
      </w:pPr>
      <w:r w:rsidRPr="000E7BF4">
        <w:rPr>
          <w:b/>
          <w:color w:val="FF0000"/>
          <w:sz w:val="24"/>
          <w:szCs w:val="24"/>
        </w:rPr>
        <w:t>Con il nuovo piano il contributo sanitario regionale deve essere garantito a tutti i 34.000 ospiti non autosufficienti. Tutti in serie A!</w:t>
      </w:r>
    </w:p>
    <w:p w:rsidR="00EE2BE9" w:rsidRPr="000E7BF4" w:rsidRDefault="00EE2BE9" w:rsidP="00EE2BE9">
      <w:pPr>
        <w:spacing w:after="0"/>
        <w:jc w:val="both"/>
        <w:rPr>
          <w:b/>
          <w:color w:val="0070C0"/>
          <w:sz w:val="24"/>
          <w:szCs w:val="24"/>
        </w:rPr>
      </w:pPr>
    </w:p>
    <w:p w:rsidR="00A74F43" w:rsidRPr="000E7BF4" w:rsidRDefault="00307B9F" w:rsidP="00EE2BE9">
      <w:pPr>
        <w:spacing w:after="0"/>
        <w:jc w:val="both"/>
        <w:rPr>
          <w:b/>
          <w:color w:val="0070C0"/>
          <w:sz w:val="24"/>
          <w:szCs w:val="24"/>
        </w:rPr>
      </w:pPr>
      <w:r w:rsidRPr="000E7BF4">
        <w:rPr>
          <w:b/>
          <w:color w:val="0070C0"/>
          <w:sz w:val="24"/>
          <w:szCs w:val="24"/>
        </w:rPr>
        <w:t>2.</w:t>
      </w:r>
      <w:r w:rsidR="00EE2BE9" w:rsidRPr="000E7BF4">
        <w:rPr>
          <w:b/>
          <w:color w:val="0070C0"/>
          <w:sz w:val="24"/>
          <w:szCs w:val="24"/>
        </w:rPr>
        <w:t xml:space="preserve"> </w:t>
      </w:r>
      <w:r w:rsidRPr="000E7BF4">
        <w:rPr>
          <w:b/>
          <w:color w:val="0070C0"/>
          <w:sz w:val="24"/>
          <w:szCs w:val="24"/>
        </w:rPr>
        <w:t>NO</w:t>
      </w:r>
      <w:r w:rsidR="00A74F43" w:rsidRPr="000E7BF4">
        <w:rPr>
          <w:b/>
          <w:color w:val="0070C0"/>
          <w:sz w:val="24"/>
          <w:szCs w:val="24"/>
        </w:rPr>
        <w:t xml:space="preserve"> MEDICI</w:t>
      </w:r>
      <w:r w:rsidR="00C17208" w:rsidRPr="000E7BF4">
        <w:rPr>
          <w:b/>
          <w:color w:val="0070C0"/>
          <w:sz w:val="24"/>
          <w:szCs w:val="24"/>
        </w:rPr>
        <w:t>,</w:t>
      </w:r>
      <w:r w:rsidR="00A74F43" w:rsidRPr="000E7BF4">
        <w:rPr>
          <w:b/>
          <w:color w:val="0070C0"/>
          <w:sz w:val="24"/>
          <w:szCs w:val="24"/>
        </w:rPr>
        <w:t xml:space="preserve"> N</w:t>
      </w:r>
      <w:r w:rsidRPr="000E7BF4">
        <w:rPr>
          <w:b/>
          <w:color w:val="0070C0"/>
          <w:sz w:val="24"/>
          <w:szCs w:val="24"/>
        </w:rPr>
        <w:t xml:space="preserve">O </w:t>
      </w:r>
      <w:r w:rsidR="00A74F43" w:rsidRPr="000E7BF4">
        <w:rPr>
          <w:b/>
          <w:color w:val="0070C0"/>
          <w:sz w:val="24"/>
          <w:szCs w:val="24"/>
        </w:rPr>
        <w:t xml:space="preserve"> PIANO</w:t>
      </w:r>
      <w:r w:rsidR="00C17208" w:rsidRPr="000E7BF4">
        <w:rPr>
          <w:b/>
          <w:color w:val="0070C0"/>
          <w:sz w:val="24"/>
          <w:szCs w:val="24"/>
        </w:rPr>
        <w:t>.</w:t>
      </w:r>
    </w:p>
    <w:p w:rsidR="00B24CBB" w:rsidRPr="000E7BF4" w:rsidRDefault="00B24CBB" w:rsidP="00B24CBB">
      <w:pPr>
        <w:spacing w:after="0"/>
        <w:jc w:val="both"/>
        <w:rPr>
          <w:b/>
          <w:sz w:val="24"/>
          <w:szCs w:val="24"/>
        </w:rPr>
      </w:pPr>
      <w:r w:rsidRPr="000E7BF4">
        <w:rPr>
          <w:b/>
          <w:sz w:val="24"/>
          <w:szCs w:val="24"/>
        </w:rPr>
        <w:t>Mancano medici negli ospedali (circa 1300).</w:t>
      </w:r>
      <w:r w:rsidR="00245111" w:rsidRPr="000E7BF4">
        <w:rPr>
          <w:b/>
          <w:sz w:val="24"/>
          <w:szCs w:val="24"/>
        </w:rPr>
        <w:t xml:space="preserve"> </w:t>
      </w:r>
      <w:r w:rsidRPr="000E7BF4">
        <w:rPr>
          <w:b/>
          <w:sz w:val="24"/>
          <w:szCs w:val="24"/>
        </w:rPr>
        <w:t>Nei prossimi cinque anni an</w:t>
      </w:r>
      <w:r w:rsidR="00245111" w:rsidRPr="000E7BF4">
        <w:rPr>
          <w:b/>
          <w:sz w:val="24"/>
          <w:szCs w:val="24"/>
        </w:rPr>
        <w:t xml:space="preserve">dranno in pensione 1135 medici </w:t>
      </w:r>
      <w:r w:rsidRPr="000E7BF4">
        <w:rPr>
          <w:b/>
          <w:sz w:val="24"/>
          <w:szCs w:val="24"/>
        </w:rPr>
        <w:t>di famiglia su 3147. Mancano anche infermieri, operatori sociosanitari e psicologi, soprattutto nelle strutture periferiche. Senza i professionisti della sanità qualsiasi piano è un libro dei sogni.</w:t>
      </w:r>
    </w:p>
    <w:p w:rsidR="00EE2BE9" w:rsidRPr="000E7BF4" w:rsidRDefault="00B24CBB" w:rsidP="00B24CBB">
      <w:pPr>
        <w:spacing w:after="0"/>
        <w:jc w:val="both"/>
        <w:rPr>
          <w:b/>
          <w:color w:val="FF0000"/>
          <w:sz w:val="24"/>
          <w:szCs w:val="24"/>
        </w:rPr>
      </w:pPr>
      <w:r w:rsidRPr="000E7BF4">
        <w:rPr>
          <w:b/>
          <w:color w:val="FF0000"/>
          <w:sz w:val="24"/>
          <w:szCs w:val="24"/>
        </w:rPr>
        <w:t>Il nuovo piano deve contenere una scheda dei fabbisogni di personale medico e paramedico e un programma delle assunzioni, sia neg</w:t>
      </w:r>
      <w:r w:rsidR="00245111" w:rsidRPr="000E7BF4">
        <w:rPr>
          <w:b/>
          <w:color w:val="FF0000"/>
          <w:sz w:val="24"/>
          <w:szCs w:val="24"/>
        </w:rPr>
        <w:t xml:space="preserve">li ospedali che nel territorio. </w:t>
      </w:r>
      <w:r w:rsidRPr="000E7BF4">
        <w:rPr>
          <w:b/>
          <w:color w:val="FF0000"/>
          <w:sz w:val="24"/>
          <w:szCs w:val="24"/>
        </w:rPr>
        <w:t>E un aumento delle borse di studio per gli specializzandi.</w:t>
      </w:r>
    </w:p>
    <w:p w:rsidR="00B24CBB" w:rsidRPr="000E7BF4" w:rsidRDefault="00B24CBB" w:rsidP="00EE2BE9">
      <w:pPr>
        <w:spacing w:after="0"/>
        <w:jc w:val="both"/>
        <w:rPr>
          <w:b/>
          <w:color w:val="0070C0"/>
          <w:sz w:val="24"/>
          <w:szCs w:val="24"/>
        </w:rPr>
      </w:pPr>
    </w:p>
    <w:p w:rsidR="004821B8" w:rsidRPr="000E7BF4" w:rsidRDefault="00307B9F" w:rsidP="00EE2BE9">
      <w:pPr>
        <w:spacing w:after="0"/>
        <w:jc w:val="both"/>
        <w:rPr>
          <w:b/>
          <w:color w:val="0070C0"/>
          <w:sz w:val="24"/>
          <w:szCs w:val="24"/>
        </w:rPr>
      </w:pPr>
      <w:r w:rsidRPr="000E7BF4">
        <w:rPr>
          <w:b/>
          <w:color w:val="0070C0"/>
          <w:sz w:val="24"/>
          <w:szCs w:val="24"/>
        </w:rPr>
        <w:t>3.</w:t>
      </w:r>
      <w:r w:rsidR="00EE2BE9" w:rsidRPr="000E7BF4">
        <w:rPr>
          <w:b/>
          <w:color w:val="0070C0"/>
          <w:sz w:val="24"/>
          <w:szCs w:val="24"/>
        </w:rPr>
        <w:t xml:space="preserve"> </w:t>
      </w:r>
      <w:r w:rsidR="00C12803" w:rsidRPr="000E7BF4">
        <w:rPr>
          <w:b/>
          <w:color w:val="0070C0"/>
          <w:sz w:val="24"/>
          <w:szCs w:val="24"/>
        </w:rPr>
        <w:t>CRONICIT</w:t>
      </w:r>
      <w:r w:rsidR="004821B8" w:rsidRPr="000E7BF4">
        <w:rPr>
          <w:b/>
          <w:color w:val="0070C0"/>
          <w:sz w:val="24"/>
          <w:szCs w:val="24"/>
        </w:rPr>
        <w:t>À</w:t>
      </w:r>
      <w:r w:rsidR="00C12803" w:rsidRPr="000E7BF4">
        <w:rPr>
          <w:b/>
          <w:color w:val="0070C0"/>
          <w:sz w:val="24"/>
          <w:szCs w:val="24"/>
        </w:rPr>
        <w:t xml:space="preserve"> E NON AUTOSUFFICIENZA: LA PAROLA AI SINDACI</w:t>
      </w:r>
    </w:p>
    <w:p w:rsidR="00B24CBB" w:rsidRPr="000E7BF4" w:rsidRDefault="00B24CBB" w:rsidP="00B24CBB">
      <w:pPr>
        <w:spacing w:after="0"/>
        <w:jc w:val="both"/>
        <w:rPr>
          <w:sz w:val="24"/>
          <w:szCs w:val="24"/>
        </w:rPr>
      </w:pPr>
      <w:r w:rsidRPr="000E7BF4">
        <w:rPr>
          <w:sz w:val="24"/>
          <w:szCs w:val="24"/>
        </w:rPr>
        <w:t>Gli ospedali di comunità sono ancora pochi (sono stati attivati solo 500 posti letto sui 1500 previsti), così come le medicine di gruppo integrate, 70 circa su 300.</w:t>
      </w:r>
      <w:r w:rsidR="00245111" w:rsidRPr="000E7BF4">
        <w:rPr>
          <w:sz w:val="24"/>
          <w:szCs w:val="24"/>
        </w:rPr>
        <w:t xml:space="preserve"> </w:t>
      </w:r>
      <w:r w:rsidRPr="000E7BF4">
        <w:rPr>
          <w:sz w:val="24"/>
          <w:szCs w:val="24"/>
        </w:rPr>
        <w:t>L’assistenza domiciliare non copre tutto il territorio.</w:t>
      </w:r>
      <w:r w:rsidR="00245111" w:rsidRPr="000E7BF4">
        <w:rPr>
          <w:sz w:val="24"/>
          <w:szCs w:val="24"/>
        </w:rPr>
        <w:t xml:space="preserve"> </w:t>
      </w:r>
      <w:r w:rsidRPr="000E7BF4">
        <w:rPr>
          <w:sz w:val="24"/>
          <w:szCs w:val="24"/>
        </w:rPr>
        <w:t>I comuni ci mettono le quote sociali ma non possono decidere dell’organizzazione dei servizi.</w:t>
      </w:r>
    </w:p>
    <w:p w:rsidR="00B24CBB" w:rsidRPr="000E7BF4" w:rsidRDefault="00B24CBB" w:rsidP="00B24CBB">
      <w:pPr>
        <w:spacing w:after="0"/>
        <w:jc w:val="both"/>
        <w:rPr>
          <w:color w:val="FF0000"/>
          <w:sz w:val="24"/>
          <w:szCs w:val="24"/>
        </w:rPr>
      </w:pPr>
      <w:r w:rsidRPr="000E7BF4">
        <w:rPr>
          <w:color w:val="FF0000"/>
          <w:sz w:val="24"/>
          <w:szCs w:val="24"/>
        </w:rPr>
        <w:t xml:space="preserve">Con il nuovo piano la programmazione dell’assistenza territoriale deve essere affidata ai Comuni. </w:t>
      </w:r>
    </w:p>
    <w:p w:rsidR="00307B9F" w:rsidRPr="000E7BF4" w:rsidRDefault="00B24CBB" w:rsidP="00B24CBB">
      <w:pPr>
        <w:spacing w:after="0"/>
        <w:jc w:val="both"/>
        <w:rPr>
          <w:color w:val="FF0000"/>
          <w:sz w:val="24"/>
          <w:szCs w:val="24"/>
        </w:rPr>
      </w:pPr>
      <w:r w:rsidRPr="000E7BF4">
        <w:rPr>
          <w:color w:val="FF0000"/>
          <w:sz w:val="24"/>
          <w:szCs w:val="24"/>
        </w:rPr>
        <w:t xml:space="preserve">In ogni distretto un Piano della </w:t>
      </w:r>
      <w:proofErr w:type="spellStart"/>
      <w:r w:rsidRPr="000E7BF4">
        <w:rPr>
          <w:color w:val="FF0000"/>
          <w:sz w:val="24"/>
          <w:szCs w:val="24"/>
        </w:rPr>
        <w:t>Domiciliarità</w:t>
      </w:r>
      <w:proofErr w:type="spellEnd"/>
      <w:r w:rsidRPr="000E7BF4">
        <w:rPr>
          <w:color w:val="FF0000"/>
          <w:sz w:val="24"/>
          <w:szCs w:val="24"/>
        </w:rPr>
        <w:t>, più strutture intermedie e Medicine di Gruppo Integrate.</w:t>
      </w:r>
    </w:p>
    <w:p w:rsidR="00EE2BE9" w:rsidRPr="000E7BF4" w:rsidRDefault="00EE2BE9" w:rsidP="00EE2BE9">
      <w:pPr>
        <w:spacing w:after="0"/>
        <w:jc w:val="both"/>
        <w:rPr>
          <w:color w:val="FF0000"/>
          <w:sz w:val="24"/>
          <w:szCs w:val="24"/>
        </w:rPr>
      </w:pPr>
    </w:p>
    <w:p w:rsidR="00307B9F" w:rsidRPr="000E7BF4" w:rsidRDefault="00307B9F" w:rsidP="00EE2BE9">
      <w:pPr>
        <w:spacing w:after="0"/>
        <w:jc w:val="both"/>
        <w:rPr>
          <w:b/>
          <w:color w:val="0070C0"/>
          <w:sz w:val="24"/>
          <w:szCs w:val="24"/>
        </w:rPr>
      </w:pPr>
      <w:r w:rsidRPr="000E7BF4">
        <w:rPr>
          <w:b/>
          <w:color w:val="0070C0"/>
          <w:sz w:val="24"/>
          <w:szCs w:val="24"/>
        </w:rPr>
        <w:t>4.</w:t>
      </w:r>
      <w:r w:rsidR="00EE2BE9" w:rsidRPr="000E7BF4">
        <w:rPr>
          <w:b/>
          <w:color w:val="0070C0"/>
          <w:sz w:val="24"/>
          <w:szCs w:val="24"/>
        </w:rPr>
        <w:t xml:space="preserve"> </w:t>
      </w:r>
      <w:r w:rsidRPr="000E7BF4">
        <w:rPr>
          <w:b/>
          <w:color w:val="0070C0"/>
          <w:sz w:val="24"/>
          <w:szCs w:val="24"/>
        </w:rPr>
        <w:t>MINORI E DISABILI:</w:t>
      </w:r>
      <w:r w:rsidR="00EE2BE9" w:rsidRPr="000E7BF4">
        <w:rPr>
          <w:b/>
          <w:color w:val="0070C0"/>
          <w:sz w:val="24"/>
          <w:szCs w:val="24"/>
        </w:rPr>
        <w:t xml:space="preserve"> </w:t>
      </w:r>
      <w:r w:rsidR="00245111" w:rsidRPr="000E7BF4">
        <w:rPr>
          <w:b/>
          <w:color w:val="0070C0"/>
          <w:sz w:val="24"/>
          <w:szCs w:val="24"/>
        </w:rPr>
        <w:t>SERVIZI UGUALI PER TUTTI,</w:t>
      </w:r>
      <w:r w:rsidRPr="000E7BF4">
        <w:rPr>
          <w:b/>
          <w:color w:val="0070C0"/>
          <w:sz w:val="24"/>
          <w:szCs w:val="24"/>
        </w:rPr>
        <w:t>DAPPERTUTTO</w:t>
      </w:r>
    </w:p>
    <w:p w:rsidR="00B24CBB" w:rsidRPr="000E7BF4" w:rsidRDefault="00B24CBB" w:rsidP="00B24CBB">
      <w:pPr>
        <w:spacing w:after="0"/>
        <w:jc w:val="both"/>
        <w:rPr>
          <w:sz w:val="24"/>
          <w:szCs w:val="24"/>
        </w:rPr>
      </w:pPr>
      <w:r w:rsidRPr="000E7BF4">
        <w:rPr>
          <w:sz w:val="24"/>
          <w:szCs w:val="24"/>
        </w:rPr>
        <w:t>L’organizzazione dei servizi di tutela dei minori e di integrazione sociosanitaria per la disabilità presenta grandi differenze da ULSS a ULSS e da distretto a distretto.</w:t>
      </w:r>
    </w:p>
    <w:p w:rsidR="00EE2BE9" w:rsidRPr="000E7BF4" w:rsidRDefault="00B24CBB" w:rsidP="00B24CBB">
      <w:pPr>
        <w:spacing w:after="0"/>
        <w:jc w:val="both"/>
        <w:rPr>
          <w:color w:val="FF0000"/>
          <w:sz w:val="24"/>
          <w:szCs w:val="24"/>
        </w:rPr>
      </w:pPr>
      <w:r w:rsidRPr="000E7BF4">
        <w:rPr>
          <w:color w:val="FF0000"/>
          <w:sz w:val="24"/>
          <w:szCs w:val="24"/>
        </w:rPr>
        <w:t>Il nuovo piano deve garantire i Livelli Essenziali di Assistenza per questi servizi, eliminando le liste d’attesa, definendo i costi per il trasporto e gli standard di personale dedicato.</w:t>
      </w:r>
    </w:p>
    <w:p w:rsidR="00B24CBB" w:rsidRPr="000E7BF4" w:rsidRDefault="00B24CBB" w:rsidP="00B24CBB">
      <w:pPr>
        <w:spacing w:after="0"/>
        <w:jc w:val="both"/>
        <w:rPr>
          <w:color w:val="FF0000"/>
          <w:sz w:val="24"/>
          <w:szCs w:val="24"/>
        </w:rPr>
      </w:pPr>
    </w:p>
    <w:p w:rsidR="00307B9F" w:rsidRPr="000E7BF4" w:rsidRDefault="00C25C4E" w:rsidP="00EE2BE9">
      <w:pPr>
        <w:spacing w:after="0"/>
        <w:jc w:val="both"/>
        <w:rPr>
          <w:b/>
          <w:color w:val="0070C0"/>
          <w:sz w:val="24"/>
          <w:szCs w:val="24"/>
        </w:rPr>
      </w:pPr>
      <w:r w:rsidRPr="000E7BF4">
        <w:rPr>
          <w:b/>
          <w:color w:val="0070C0"/>
          <w:sz w:val="24"/>
          <w:szCs w:val="24"/>
        </w:rPr>
        <w:t>5.</w:t>
      </w:r>
      <w:r w:rsidR="00EE2BE9" w:rsidRPr="000E7BF4">
        <w:rPr>
          <w:b/>
          <w:color w:val="0070C0"/>
          <w:sz w:val="24"/>
          <w:szCs w:val="24"/>
        </w:rPr>
        <w:t xml:space="preserve"> </w:t>
      </w:r>
      <w:r w:rsidR="0017254D" w:rsidRPr="000E7BF4">
        <w:rPr>
          <w:b/>
          <w:color w:val="0070C0"/>
          <w:sz w:val="24"/>
          <w:szCs w:val="24"/>
        </w:rPr>
        <w:t xml:space="preserve">LAVORARE IN SICUREZZA </w:t>
      </w:r>
    </w:p>
    <w:p w:rsidR="00B24CBB" w:rsidRPr="000E7BF4" w:rsidRDefault="00B24CBB" w:rsidP="00B24CBB">
      <w:pPr>
        <w:spacing w:after="0"/>
        <w:jc w:val="both"/>
        <w:rPr>
          <w:sz w:val="24"/>
          <w:szCs w:val="24"/>
        </w:rPr>
      </w:pPr>
      <w:r w:rsidRPr="000E7BF4">
        <w:rPr>
          <w:sz w:val="24"/>
          <w:szCs w:val="24"/>
        </w:rPr>
        <w:t>In Veneto nel 2018 ci son</w:t>
      </w:r>
      <w:r w:rsidR="00245111" w:rsidRPr="000E7BF4">
        <w:rPr>
          <w:sz w:val="24"/>
          <w:szCs w:val="24"/>
        </w:rPr>
        <w:t xml:space="preserve">o state 59 vittime sul lavoro, </w:t>
      </w:r>
      <w:r w:rsidRPr="000E7BF4">
        <w:rPr>
          <w:sz w:val="24"/>
          <w:szCs w:val="24"/>
        </w:rPr>
        <w:t>16 in più rispetto</w:t>
      </w:r>
      <w:r w:rsidR="00245111" w:rsidRPr="000E7BF4">
        <w:rPr>
          <w:sz w:val="24"/>
          <w:szCs w:val="24"/>
        </w:rPr>
        <w:t xml:space="preserve"> allo stesso periodo del 2017. </w:t>
      </w:r>
      <w:r w:rsidRPr="000E7BF4">
        <w:rPr>
          <w:sz w:val="24"/>
          <w:szCs w:val="24"/>
        </w:rPr>
        <w:t>La Regione ha sottoscritto u</w:t>
      </w:r>
      <w:r w:rsidR="00F17A08">
        <w:rPr>
          <w:sz w:val="24"/>
          <w:szCs w:val="24"/>
        </w:rPr>
        <w:t xml:space="preserve">n accordo con le parti sociali </w:t>
      </w:r>
      <w:r w:rsidRPr="000E7BF4">
        <w:rPr>
          <w:sz w:val="24"/>
          <w:szCs w:val="24"/>
        </w:rPr>
        <w:t>per potenziare gli SPISAL (servizi di prevenzione, igiene e sicurezza negli ambienti di lavoro).</w:t>
      </w:r>
      <w:r w:rsidR="00245111" w:rsidRPr="000E7BF4">
        <w:rPr>
          <w:sz w:val="24"/>
          <w:szCs w:val="24"/>
        </w:rPr>
        <w:t xml:space="preserve"> </w:t>
      </w:r>
      <w:r w:rsidRPr="000E7BF4">
        <w:rPr>
          <w:sz w:val="24"/>
          <w:szCs w:val="24"/>
        </w:rPr>
        <w:t>L’accordo prevede l’assunzione di 30 tecnici della prevenzione.</w:t>
      </w:r>
    </w:p>
    <w:p w:rsidR="00AD187C" w:rsidRPr="000E7BF4" w:rsidRDefault="00B24CBB" w:rsidP="00B24CBB">
      <w:pPr>
        <w:spacing w:after="0"/>
        <w:jc w:val="both"/>
        <w:rPr>
          <w:color w:val="FF0000"/>
          <w:sz w:val="24"/>
          <w:szCs w:val="24"/>
        </w:rPr>
      </w:pPr>
      <w:r w:rsidRPr="000E7BF4">
        <w:rPr>
          <w:color w:val="FF0000"/>
          <w:sz w:val="24"/>
          <w:szCs w:val="24"/>
        </w:rPr>
        <w:t>Il nuovo piano deve rendere stabili le previsioni dell’Accordo, facendo del Veneto una regione dove il lavoro è sicuro.</w:t>
      </w:r>
    </w:p>
    <w:p w:rsidR="00EE2BE9" w:rsidRPr="000E7BF4" w:rsidRDefault="00EE2BE9" w:rsidP="00EE2BE9">
      <w:pPr>
        <w:spacing w:after="0"/>
        <w:jc w:val="both"/>
        <w:rPr>
          <w:color w:val="FF0000"/>
          <w:sz w:val="24"/>
          <w:szCs w:val="24"/>
        </w:rPr>
      </w:pPr>
    </w:p>
    <w:p w:rsidR="000E7BF4" w:rsidRDefault="000E7BF4" w:rsidP="00EE2BE9">
      <w:pPr>
        <w:spacing w:after="0"/>
        <w:jc w:val="both"/>
        <w:rPr>
          <w:b/>
          <w:color w:val="0070C0"/>
          <w:sz w:val="24"/>
          <w:szCs w:val="24"/>
        </w:rPr>
      </w:pPr>
    </w:p>
    <w:p w:rsidR="000E7BF4" w:rsidRDefault="000E7BF4" w:rsidP="00EE2BE9">
      <w:pPr>
        <w:spacing w:after="0"/>
        <w:jc w:val="both"/>
        <w:rPr>
          <w:b/>
          <w:color w:val="0070C0"/>
          <w:sz w:val="24"/>
          <w:szCs w:val="24"/>
        </w:rPr>
      </w:pPr>
    </w:p>
    <w:p w:rsidR="00C25C4E" w:rsidRPr="000E7BF4" w:rsidRDefault="00C25C4E" w:rsidP="00EE2BE9">
      <w:pPr>
        <w:spacing w:after="0"/>
        <w:jc w:val="both"/>
        <w:rPr>
          <w:b/>
          <w:color w:val="0070C0"/>
          <w:sz w:val="24"/>
          <w:szCs w:val="24"/>
        </w:rPr>
      </w:pPr>
      <w:r w:rsidRPr="000E7BF4">
        <w:rPr>
          <w:b/>
          <w:color w:val="0070C0"/>
          <w:sz w:val="24"/>
          <w:szCs w:val="24"/>
        </w:rPr>
        <w:lastRenderedPageBreak/>
        <w:t>6.</w:t>
      </w:r>
      <w:r w:rsidR="00B24CBB" w:rsidRPr="000E7BF4">
        <w:rPr>
          <w:b/>
          <w:color w:val="0070C0"/>
          <w:sz w:val="24"/>
          <w:szCs w:val="24"/>
        </w:rPr>
        <w:t xml:space="preserve"> </w:t>
      </w:r>
      <w:r w:rsidRPr="000E7BF4">
        <w:rPr>
          <w:b/>
          <w:color w:val="0070C0"/>
          <w:sz w:val="24"/>
          <w:szCs w:val="24"/>
        </w:rPr>
        <w:t xml:space="preserve">FUORI DALLE EMERGENZE: </w:t>
      </w:r>
      <w:r w:rsidR="00B24CBB" w:rsidRPr="000E7BF4">
        <w:rPr>
          <w:b/>
          <w:color w:val="0070C0"/>
          <w:sz w:val="24"/>
          <w:szCs w:val="24"/>
        </w:rPr>
        <w:t>PFAS E WEST NILE</w:t>
      </w:r>
    </w:p>
    <w:p w:rsidR="00B24CBB" w:rsidRPr="000E7BF4" w:rsidRDefault="00B24CBB" w:rsidP="00B24CBB">
      <w:pPr>
        <w:spacing w:after="0"/>
        <w:jc w:val="both"/>
        <w:rPr>
          <w:sz w:val="24"/>
          <w:szCs w:val="24"/>
        </w:rPr>
      </w:pPr>
      <w:r w:rsidRPr="000E7BF4">
        <w:rPr>
          <w:sz w:val="24"/>
          <w:szCs w:val="24"/>
        </w:rPr>
        <w:t xml:space="preserve">La contaminazione delle acque da PFAS e le morti per il virus West </w:t>
      </w:r>
      <w:proofErr w:type="spellStart"/>
      <w:r w:rsidRPr="000E7BF4">
        <w:rPr>
          <w:sz w:val="24"/>
          <w:szCs w:val="24"/>
        </w:rPr>
        <w:t>Nile</w:t>
      </w:r>
      <w:proofErr w:type="spellEnd"/>
      <w:r w:rsidRPr="000E7BF4">
        <w:rPr>
          <w:sz w:val="24"/>
          <w:szCs w:val="24"/>
        </w:rPr>
        <w:t xml:space="preserve"> hanno mostrato che servono politiche di sorveglianza ambientale e sanitaria estese, costanti, non episodiche.</w:t>
      </w:r>
    </w:p>
    <w:p w:rsidR="00B24CBB" w:rsidRPr="000E7BF4" w:rsidRDefault="00B24CBB" w:rsidP="00B24CBB">
      <w:pPr>
        <w:spacing w:after="0"/>
        <w:jc w:val="both"/>
        <w:rPr>
          <w:color w:val="FF0000"/>
          <w:sz w:val="24"/>
          <w:szCs w:val="24"/>
        </w:rPr>
      </w:pPr>
      <w:r w:rsidRPr="000E7BF4">
        <w:rPr>
          <w:color w:val="FF0000"/>
          <w:sz w:val="24"/>
          <w:szCs w:val="24"/>
        </w:rPr>
        <w:t xml:space="preserve">Il nuovo piano deve rendere stabili le misure di sorveglianza sanitaria e ambientale per la contaminazione da PFAS e le iniziative di contrasto alla West </w:t>
      </w:r>
      <w:proofErr w:type="spellStart"/>
      <w:r w:rsidRPr="000E7BF4">
        <w:rPr>
          <w:color w:val="FF0000"/>
          <w:sz w:val="24"/>
          <w:szCs w:val="24"/>
        </w:rPr>
        <w:t>Nile</w:t>
      </w:r>
      <w:proofErr w:type="spellEnd"/>
      <w:r w:rsidRPr="000E7BF4">
        <w:rPr>
          <w:color w:val="FF0000"/>
          <w:sz w:val="24"/>
          <w:szCs w:val="24"/>
        </w:rPr>
        <w:t>.</w:t>
      </w:r>
    </w:p>
    <w:p w:rsidR="00B24CBB" w:rsidRPr="000E7BF4" w:rsidRDefault="00B24CBB" w:rsidP="00B24CBB">
      <w:pPr>
        <w:spacing w:after="0"/>
        <w:jc w:val="both"/>
        <w:rPr>
          <w:color w:val="FF0000"/>
          <w:sz w:val="24"/>
          <w:szCs w:val="24"/>
        </w:rPr>
      </w:pPr>
    </w:p>
    <w:p w:rsidR="00C25C4E" w:rsidRPr="000E7BF4" w:rsidRDefault="0017254D" w:rsidP="00EE2BE9">
      <w:pPr>
        <w:spacing w:after="0"/>
        <w:jc w:val="both"/>
        <w:rPr>
          <w:b/>
          <w:color w:val="FF0000"/>
          <w:sz w:val="24"/>
          <w:szCs w:val="24"/>
        </w:rPr>
      </w:pPr>
      <w:r w:rsidRPr="000E7BF4">
        <w:rPr>
          <w:b/>
          <w:color w:val="0070C0"/>
          <w:sz w:val="24"/>
          <w:szCs w:val="24"/>
        </w:rPr>
        <w:t>7.</w:t>
      </w:r>
      <w:r w:rsidR="00B24CBB" w:rsidRPr="000E7BF4">
        <w:rPr>
          <w:b/>
          <w:color w:val="0070C0"/>
          <w:sz w:val="24"/>
          <w:szCs w:val="24"/>
        </w:rPr>
        <w:t xml:space="preserve"> </w:t>
      </w:r>
      <w:r w:rsidRPr="000E7BF4">
        <w:rPr>
          <w:b/>
          <w:color w:val="0070C0"/>
          <w:sz w:val="24"/>
          <w:szCs w:val="24"/>
        </w:rPr>
        <w:t>NUOVI</w:t>
      </w:r>
      <w:r w:rsidR="00AD187C" w:rsidRPr="000E7BF4">
        <w:rPr>
          <w:b/>
          <w:color w:val="0070C0"/>
          <w:sz w:val="24"/>
          <w:szCs w:val="24"/>
        </w:rPr>
        <w:t xml:space="preserve"> MALA</w:t>
      </w:r>
      <w:r w:rsidR="00C25C4E" w:rsidRPr="000E7BF4">
        <w:rPr>
          <w:b/>
          <w:color w:val="0070C0"/>
          <w:sz w:val="24"/>
          <w:szCs w:val="24"/>
        </w:rPr>
        <w:t>TI , NUOVI SERVIZI</w:t>
      </w:r>
    </w:p>
    <w:p w:rsidR="00B24CBB" w:rsidRPr="000E7BF4" w:rsidRDefault="00B24CBB" w:rsidP="00B24CBB">
      <w:pPr>
        <w:spacing w:after="0"/>
        <w:jc w:val="both"/>
        <w:rPr>
          <w:sz w:val="24"/>
          <w:szCs w:val="24"/>
        </w:rPr>
      </w:pPr>
      <w:r w:rsidRPr="000E7BF4">
        <w:rPr>
          <w:sz w:val="24"/>
          <w:szCs w:val="24"/>
        </w:rPr>
        <w:t>Autismo, patologie psichiatriche, celiachia, Alzheimer e Disturbi del Comportamento Alimentare si configurano come nuo</w:t>
      </w:r>
      <w:r w:rsidR="00245111" w:rsidRPr="000E7BF4">
        <w:rPr>
          <w:sz w:val="24"/>
          <w:szCs w:val="24"/>
        </w:rPr>
        <w:t xml:space="preserve">ve sfide al sistema sanitario. </w:t>
      </w:r>
      <w:r w:rsidRPr="000E7BF4">
        <w:rPr>
          <w:sz w:val="24"/>
          <w:szCs w:val="24"/>
        </w:rPr>
        <w:t>Richiedono servizi specialistici dedicati e prestazioni integrative innovative.</w:t>
      </w:r>
    </w:p>
    <w:p w:rsidR="00B24CBB" w:rsidRPr="000E7BF4" w:rsidRDefault="00B24CBB" w:rsidP="00B24CBB">
      <w:pPr>
        <w:spacing w:after="0"/>
        <w:jc w:val="both"/>
        <w:rPr>
          <w:color w:val="FF0000"/>
          <w:sz w:val="24"/>
          <w:szCs w:val="24"/>
        </w:rPr>
      </w:pPr>
      <w:r w:rsidRPr="000E7BF4">
        <w:rPr>
          <w:color w:val="FF0000"/>
          <w:sz w:val="24"/>
          <w:szCs w:val="24"/>
        </w:rPr>
        <w:t>Il nuovo piano deve strutturar</w:t>
      </w:r>
      <w:r w:rsidR="00245111" w:rsidRPr="000E7BF4">
        <w:rPr>
          <w:color w:val="FF0000"/>
          <w:sz w:val="24"/>
          <w:szCs w:val="24"/>
        </w:rPr>
        <w:t xml:space="preserve">e punti di riferimento clinico </w:t>
      </w:r>
      <w:r w:rsidRPr="000E7BF4">
        <w:rPr>
          <w:color w:val="FF0000"/>
          <w:sz w:val="24"/>
          <w:szCs w:val="24"/>
        </w:rPr>
        <w:t>e reti provinciali di assistenza.</w:t>
      </w:r>
    </w:p>
    <w:p w:rsidR="00B24CBB" w:rsidRPr="000E7BF4" w:rsidRDefault="00B24CBB" w:rsidP="00B24CBB">
      <w:pPr>
        <w:spacing w:after="0"/>
        <w:jc w:val="both"/>
        <w:rPr>
          <w:color w:val="FF0000"/>
          <w:sz w:val="24"/>
          <w:szCs w:val="24"/>
        </w:rPr>
      </w:pPr>
    </w:p>
    <w:p w:rsidR="00AD187C" w:rsidRPr="000E7BF4" w:rsidRDefault="00AD187C" w:rsidP="00EE2BE9">
      <w:pPr>
        <w:spacing w:after="0"/>
        <w:jc w:val="both"/>
        <w:rPr>
          <w:b/>
          <w:color w:val="0070C0"/>
          <w:sz w:val="24"/>
          <w:szCs w:val="24"/>
        </w:rPr>
      </w:pPr>
      <w:r w:rsidRPr="000E7BF4">
        <w:rPr>
          <w:b/>
          <w:color w:val="0070C0"/>
          <w:sz w:val="24"/>
          <w:szCs w:val="24"/>
        </w:rPr>
        <w:t>8.</w:t>
      </w:r>
      <w:r w:rsidR="00B24CBB" w:rsidRPr="000E7BF4">
        <w:rPr>
          <w:b/>
          <w:color w:val="0070C0"/>
          <w:sz w:val="24"/>
          <w:szCs w:val="24"/>
        </w:rPr>
        <w:t xml:space="preserve"> </w:t>
      </w:r>
      <w:r w:rsidRPr="000E7BF4">
        <w:rPr>
          <w:b/>
          <w:color w:val="0070C0"/>
          <w:sz w:val="24"/>
          <w:szCs w:val="24"/>
        </w:rPr>
        <w:t>LA SALUTE IN MONTAGNA</w:t>
      </w:r>
      <w:r w:rsidR="0017254D" w:rsidRPr="000E7BF4">
        <w:rPr>
          <w:b/>
          <w:color w:val="0070C0"/>
          <w:sz w:val="24"/>
          <w:szCs w:val="24"/>
        </w:rPr>
        <w:t>, LAGUNA E POLESINE</w:t>
      </w:r>
    </w:p>
    <w:p w:rsidR="00837785" w:rsidRPr="000E7BF4" w:rsidRDefault="00837785" w:rsidP="00837785">
      <w:pPr>
        <w:spacing w:after="0"/>
        <w:jc w:val="both"/>
        <w:rPr>
          <w:sz w:val="24"/>
          <w:szCs w:val="24"/>
        </w:rPr>
      </w:pPr>
      <w:r w:rsidRPr="000E7BF4">
        <w:rPr>
          <w:sz w:val="24"/>
          <w:szCs w:val="24"/>
        </w:rPr>
        <w:t xml:space="preserve">I territori montani, lagunari e deltizi pagano una geografia difficile e una popolazione meno giovane. La risposta della programmazione deve essere tarata sulle esigenze particolari di questi territori speciali. </w:t>
      </w:r>
    </w:p>
    <w:p w:rsidR="00B24CBB" w:rsidRPr="000E7BF4" w:rsidRDefault="00837785" w:rsidP="00837785">
      <w:pPr>
        <w:spacing w:after="0"/>
        <w:jc w:val="both"/>
        <w:rPr>
          <w:color w:val="FF0000"/>
          <w:sz w:val="24"/>
          <w:szCs w:val="24"/>
        </w:rPr>
      </w:pPr>
      <w:r w:rsidRPr="000E7BF4">
        <w:rPr>
          <w:color w:val="FF0000"/>
          <w:sz w:val="24"/>
          <w:szCs w:val="24"/>
        </w:rPr>
        <w:t xml:space="preserve">Assicurare l’emergenza-urgenza. Un ospedale </w:t>
      </w:r>
      <w:proofErr w:type="spellStart"/>
      <w:r w:rsidRPr="000E7BF4">
        <w:rPr>
          <w:color w:val="FF0000"/>
          <w:sz w:val="24"/>
          <w:szCs w:val="24"/>
        </w:rPr>
        <w:t>hub</w:t>
      </w:r>
      <w:proofErr w:type="spellEnd"/>
      <w:r w:rsidRPr="000E7BF4">
        <w:rPr>
          <w:color w:val="FF0000"/>
          <w:sz w:val="24"/>
          <w:szCs w:val="24"/>
        </w:rPr>
        <w:t xml:space="preserve"> di riferimento per il bellunese e il polesine, più ospedali di comunità, più risorse per i distretti e un Piano per la </w:t>
      </w:r>
      <w:proofErr w:type="spellStart"/>
      <w:r w:rsidRPr="000E7BF4">
        <w:rPr>
          <w:color w:val="FF0000"/>
          <w:sz w:val="24"/>
          <w:szCs w:val="24"/>
        </w:rPr>
        <w:t>Domiciliarità</w:t>
      </w:r>
      <w:proofErr w:type="spellEnd"/>
      <w:r w:rsidRPr="000E7BF4">
        <w:rPr>
          <w:color w:val="FF0000"/>
          <w:sz w:val="24"/>
          <w:szCs w:val="24"/>
        </w:rPr>
        <w:t xml:space="preserve"> distrettuale.</w:t>
      </w:r>
    </w:p>
    <w:p w:rsidR="00837785" w:rsidRPr="000E7BF4" w:rsidRDefault="00837785" w:rsidP="00837785">
      <w:pPr>
        <w:spacing w:after="0"/>
        <w:jc w:val="both"/>
        <w:rPr>
          <w:color w:val="FF0000"/>
          <w:sz w:val="24"/>
          <w:szCs w:val="24"/>
        </w:rPr>
      </w:pPr>
    </w:p>
    <w:p w:rsidR="00AD187C" w:rsidRPr="000E7BF4" w:rsidRDefault="00AD187C" w:rsidP="00EE2BE9">
      <w:pPr>
        <w:spacing w:after="0"/>
        <w:jc w:val="both"/>
        <w:rPr>
          <w:b/>
          <w:color w:val="0070C0"/>
          <w:sz w:val="24"/>
          <w:szCs w:val="24"/>
        </w:rPr>
      </w:pPr>
      <w:r w:rsidRPr="000E7BF4">
        <w:rPr>
          <w:b/>
          <w:color w:val="0070C0"/>
          <w:sz w:val="24"/>
          <w:szCs w:val="24"/>
        </w:rPr>
        <w:t>9.</w:t>
      </w:r>
      <w:r w:rsidR="00B24CBB" w:rsidRPr="000E7BF4">
        <w:rPr>
          <w:b/>
          <w:color w:val="0070C0"/>
          <w:sz w:val="24"/>
          <w:szCs w:val="24"/>
        </w:rPr>
        <w:t xml:space="preserve"> </w:t>
      </w:r>
      <w:r w:rsidRPr="000E7BF4">
        <w:rPr>
          <w:b/>
          <w:color w:val="0070C0"/>
          <w:sz w:val="24"/>
          <w:szCs w:val="24"/>
        </w:rPr>
        <w:t>AIUTIAMOLI A CASA LORO</w:t>
      </w:r>
      <w:r w:rsidR="00951651" w:rsidRPr="000E7BF4">
        <w:rPr>
          <w:b/>
          <w:color w:val="0070C0"/>
          <w:sz w:val="24"/>
          <w:szCs w:val="24"/>
        </w:rPr>
        <w:t>, DAVVERO</w:t>
      </w:r>
    </w:p>
    <w:p w:rsidR="00837785" w:rsidRPr="000E7BF4" w:rsidRDefault="00837785" w:rsidP="00837785">
      <w:pPr>
        <w:spacing w:after="0"/>
        <w:jc w:val="both"/>
        <w:rPr>
          <w:sz w:val="24"/>
          <w:szCs w:val="24"/>
        </w:rPr>
      </w:pPr>
      <w:r w:rsidRPr="000E7BF4">
        <w:rPr>
          <w:sz w:val="24"/>
          <w:szCs w:val="24"/>
        </w:rPr>
        <w:t xml:space="preserve">Il Veneto vanta una lunga tradizione di cooperazione internazionale, in particolare nel settore sanitario. </w:t>
      </w:r>
    </w:p>
    <w:p w:rsidR="00837785" w:rsidRPr="000E7BF4" w:rsidRDefault="00837785" w:rsidP="00837785">
      <w:pPr>
        <w:spacing w:after="0"/>
        <w:jc w:val="both"/>
        <w:rPr>
          <w:sz w:val="24"/>
          <w:szCs w:val="24"/>
        </w:rPr>
      </w:pPr>
      <w:r w:rsidRPr="000E7BF4">
        <w:rPr>
          <w:sz w:val="24"/>
          <w:szCs w:val="24"/>
        </w:rPr>
        <w:t>Il nostro modello sociosanitario può essere una risorsa per quei Paesi che hanno bisogno di crescere e di garantire accessibilità a servizi sanitari efficienti.</w:t>
      </w:r>
    </w:p>
    <w:p w:rsidR="00B24CBB" w:rsidRPr="000E7BF4" w:rsidRDefault="00837785" w:rsidP="00837785">
      <w:pPr>
        <w:spacing w:after="0"/>
        <w:jc w:val="both"/>
        <w:rPr>
          <w:color w:val="FF0000"/>
          <w:sz w:val="24"/>
          <w:szCs w:val="24"/>
        </w:rPr>
      </w:pPr>
      <w:r w:rsidRPr="000E7BF4">
        <w:rPr>
          <w:color w:val="FF0000"/>
          <w:sz w:val="24"/>
          <w:szCs w:val="24"/>
        </w:rPr>
        <w:t>Il nuovo piano deve individuare nella cooperazione sanitaria con i paesi dell’Africa sub-sahariana la priorità regionale nelle azioni di aiuto allo sviluppo, superando la logica emergenziale con interventi strutturali e continuativi.</w:t>
      </w:r>
    </w:p>
    <w:p w:rsidR="00837785" w:rsidRPr="000E7BF4" w:rsidRDefault="00837785" w:rsidP="00837785">
      <w:pPr>
        <w:spacing w:after="0"/>
        <w:jc w:val="both"/>
        <w:rPr>
          <w:b/>
          <w:color w:val="0070C0"/>
          <w:sz w:val="24"/>
          <w:szCs w:val="24"/>
        </w:rPr>
      </w:pPr>
    </w:p>
    <w:p w:rsidR="00B60CE3" w:rsidRPr="000E7BF4" w:rsidRDefault="00B60CE3" w:rsidP="00EE2BE9">
      <w:pPr>
        <w:spacing w:after="0"/>
        <w:jc w:val="both"/>
        <w:rPr>
          <w:b/>
          <w:color w:val="0070C0"/>
          <w:sz w:val="24"/>
          <w:szCs w:val="24"/>
        </w:rPr>
      </w:pPr>
      <w:r w:rsidRPr="000E7BF4">
        <w:rPr>
          <w:b/>
          <w:color w:val="0070C0"/>
          <w:sz w:val="24"/>
          <w:szCs w:val="24"/>
        </w:rPr>
        <w:t>10.</w:t>
      </w:r>
      <w:r w:rsidR="00B24CBB" w:rsidRPr="000E7BF4">
        <w:rPr>
          <w:b/>
          <w:color w:val="0070C0"/>
          <w:sz w:val="24"/>
          <w:szCs w:val="24"/>
        </w:rPr>
        <w:t xml:space="preserve"> </w:t>
      </w:r>
      <w:r w:rsidRPr="000E7BF4">
        <w:rPr>
          <w:b/>
          <w:color w:val="0070C0"/>
          <w:sz w:val="24"/>
          <w:szCs w:val="24"/>
        </w:rPr>
        <w:t>INVESTIMENTI ALLA LUCE DEL SOLE</w:t>
      </w:r>
    </w:p>
    <w:p w:rsidR="00837785" w:rsidRPr="000E7BF4" w:rsidRDefault="00837785" w:rsidP="00837785">
      <w:pPr>
        <w:spacing w:after="0"/>
        <w:jc w:val="both"/>
        <w:rPr>
          <w:sz w:val="24"/>
          <w:szCs w:val="24"/>
        </w:rPr>
      </w:pPr>
      <w:r w:rsidRPr="000E7BF4">
        <w:rPr>
          <w:sz w:val="24"/>
          <w:szCs w:val="24"/>
        </w:rPr>
        <w:t>La sanità ha bisogno di investimenti (nuovi ospedali e ristrutturazioni, tecnologie, centri specializzati), ma il Consiglio Regionale, a differenza di quanto accade per strade, ferrovie, difesa del suolo, non ha alcuna competenza sulla programmazione degli investimenti in sanità.</w:t>
      </w:r>
    </w:p>
    <w:p w:rsidR="00837785" w:rsidRPr="000E7BF4" w:rsidRDefault="00837785" w:rsidP="00837785">
      <w:pPr>
        <w:spacing w:after="0"/>
        <w:jc w:val="both"/>
        <w:rPr>
          <w:color w:val="FF0000"/>
          <w:sz w:val="24"/>
          <w:szCs w:val="24"/>
        </w:rPr>
      </w:pPr>
      <w:r w:rsidRPr="000E7BF4">
        <w:rPr>
          <w:color w:val="FF0000"/>
          <w:sz w:val="24"/>
          <w:szCs w:val="24"/>
        </w:rPr>
        <w:t>Il nuovo piano deve prevedere che il Consiglio Regionale si esprima sugli investimenti in sanità.</w:t>
      </w:r>
    </w:p>
    <w:p w:rsidR="00837785" w:rsidRPr="000E7BF4" w:rsidRDefault="00837785" w:rsidP="00837785">
      <w:pPr>
        <w:spacing w:after="0"/>
        <w:jc w:val="both"/>
        <w:rPr>
          <w:sz w:val="24"/>
          <w:szCs w:val="24"/>
        </w:rPr>
      </w:pPr>
    </w:p>
    <w:p w:rsidR="00C25C4E" w:rsidRPr="000E7BF4" w:rsidRDefault="00EE2BE9" w:rsidP="00837785">
      <w:pPr>
        <w:spacing w:after="0"/>
        <w:jc w:val="both"/>
        <w:rPr>
          <w:b/>
          <w:color w:val="0070C0"/>
          <w:sz w:val="24"/>
          <w:szCs w:val="24"/>
        </w:rPr>
      </w:pPr>
      <w:r w:rsidRPr="000E7BF4">
        <w:rPr>
          <w:b/>
          <w:color w:val="0070C0"/>
          <w:sz w:val="24"/>
          <w:szCs w:val="24"/>
        </w:rPr>
        <w:t>11. MONITORAGGIO</w:t>
      </w:r>
    </w:p>
    <w:p w:rsidR="00245111" w:rsidRPr="000E7BF4" w:rsidRDefault="00245111" w:rsidP="00245111">
      <w:pPr>
        <w:spacing w:after="0"/>
        <w:jc w:val="both"/>
        <w:rPr>
          <w:sz w:val="24"/>
          <w:szCs w:val="24"/>
        </w:rPr>
      </w:pPr>
      <w:r w:rsidRPr="000E7BF4">
        <w:rPr>
          <w:sz w:val="24"/>
          <w:szCs w:val="24"/>
        </w:rPr>
        <w:t>Attivare il «Tavolo permanente di monitoraggio» per verificare periodicamente lo stato di attuazione degli interventi previsti nel nuovo PSSR 2019/2023.</w:t>
      </w:r>
    </w:p>
    <w:p w:rsidR="00837785" w:rsidRPr="000E7BF4" w:rsidRDefault="00245111" w:rsidP="00245111">
      <w:pPr>
        <w:spacing w:after="0"/>
        <w:jc w:val="both"/>
        <w:rPr>
          <w:color w:val="FF0000"/>
          <w:sz w:val="24"/>
          <w:szCs w:val="24"/>
        </w:rPr>
      </w:pPr>
      <w:r w:rsidRPr="000E7BF4">
        <w:rPr>
          <w:color w:val="FF0000"/>
          <w:sz w:val="24"/>
          <w:szCs w:val="24"/>
        </w:rPr>
        <w:t>Il Tavolo permanente di monitoraggio dovrà essere costituito dai più significativi attori istituzionali ed associativi del Sistema socio sanitario. Ne faranno parte anche tre consiglieri regionali, due della minoranza e uno della maggioranza.</w:t>
      </w:r>
      <w:bookmarkStart w:id="0" w:name="_GoBack"/>
      <w:bookmarkEnd w:id="0"/>
    </w:p>
    <w:sectPr w:rsidR="00837785" w:rsidRPr="000E7B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43AAF"/>
    <w:multiLevelType w:val="hybridMultilevel"/>
    <w:tmpl w:val="27567698"/>
    <w:lvl w:ilvl="0" w:tplc="3D8C8DD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46EA4F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FCFB5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076E7F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904F37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686672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EFE660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1E68DE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03CC35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43"/>
    <w:rsid w:val="000545D6"/>
    <w:rsid w:val="00082D44"/>
    <w:rsid w:val="0008563F"/>
    <w:rsid w:val="000B7B70"/>
    <w:rsid w:val="000E5DFD"/>
    <w:rsid w:val="000E7BF4"/>
    <w:rsid w:val="000F4258"/>
    <w:rsid w:val="001073C0"/>
    <w:rsid w:val="00155043"/>
    <w:rsid w:val="00165AF2"/>
    <w:rsid w:val="0017254D"/>
    <w:rsid w:val="001B0CFC"/>
    <w:rsid w:val="001D4B31"/>
    <w:rsid w:val="00215218"/>
    <w:rsid w:val="002240D7"/>
    <w:rsid w:val="00245111"/>
    <w:rsid w:val="00261A83"/>
    <w:rsid w:val="00281556"/>
    <w:rsid w:val="002872DA"/>
    <w:rsid w:val="002B7C4E"/>
    <w:rsid w:val="002C6748"/>
    <w:rsid w:val="002E5396"/>
    <w:rsid w:val="00307B9F"/>
    <w:rsid w:val="003D7AF7"/>
    <w:rsid w:val="003F0364"/>
    <w:rsid w:val="004071CA"/>
    <w:rsid w:val="004821B8"/>
    <w:rsid w:val="004F3960"/>
    <w:rsid w:val="00501AB0"/>
    <w:rsid w:val="00502EF8"/>
    <w:rsid w:val="00561398"/>
    <w:rsid w:val="00562B7D"/>
    <w:rsid w:val="005F5D64"/>
    <w:rsid w:val="00604DAB"/>
    <w:rsid w:val="00611BAB"/>
    <w:rsid w:val="0064761E"/>
    <w:rsid w:val="00687531"/>
    <w:rsid w:val="006B0542"/>
    <w:rsid w:val="006F0711"/>
    <w:rsid w:val="00781701"/>
    <w:rsid w:val="00792687"/>
    <w:rsid w:val="007934C2"/>
    <w:rsid w:val="007B2D53"/>
    <w:rsid w:val="007C50FF"/>
    <w:rsid w:val="007D3E20"/>
    <w:rsid w:val="008210BF"/>
    <w:rsid w:val="0082624B"/>
    <w:rsid w:val="0083017F"/>
    <w:rsid w:val="00837785"/>
    <w:rsid w:val="00857D76"/>
    <w:rsid w:val="0086411C"/>
    <w:rsid w:val="00865980"/>
    <w:rsid w:val="00875E90"/>
    <w:rsid w:val="00951651"/>
    <w:rsid w:val="00967893"/>
    <w:rsid w:val="009E595D"/>
    <w:rsid w:val="00A1392F"/>
    <w:rsid w:val="00A14E0C"/>
    <w:rsid w:val="00A55E3D"/>
    <w:rsid w:val="00A676C5"/>
    <w:rsid w:val="00A74F43"/>
    <w:rsid w:val="00A774EA"/>
    <w:rsid w:val="00A81823"/>
    <w:rsid w:val="00AD187C"/>
    <w:rsid w:val="00AF7049"/>
    <w:rsid w:val="00B05670"/>
    <w:rsid w:val="00B06072"/>
    <w:rsid w:val="00B13E06"/>
    <w:rsid w:val="00B24CBB"/>
    <w:rsid w:val="00B36948"/>
    <w:rsid w:val="00B46282"/>
    <w:rsid w:val="00B60CE3"/>
    <w:rsid w:val="00B9436C"/>
    <w:rsid w:val="00BF1094"/>
    <w:rsid w:val="00C0408E"/>
    <w:rsid w:val="00C12803"/>
    <w:rsid w:val="00C17208"/>
    <w:rsid w:val="00C22D74"/>
    <w:rsid w:val="00C25C4E"/>
    <w:rsid w:val="00C31651"/>
    <w:rsid w:val="00C55733"/>
    <w:rsid w:val="00CF7F50"/>
    <w:rsid w:val="00D94A98"/>
    <w:rsid w:val="00DD1272"/>
    <w:rsid w:val="00DE1592"/>
    <w:rsid w:val="00E05C33"/>
    <w:rsid w:val="00E3065F"/>
    <w:rsid w:val="00E85629"/>
    <w:rsid w:val="00E950D7"/>
    <w:rsid w:val="00EE2BE9"/>
    <w:rsid w:val="00F01603"/>
    <w:rsid w:val="00F15CE3"/>
    <w:rsid w:val="00F17A08"/>
    <w:rsid w:val="00F32DFA"/>
    <w:rsid w:val="00F84F83"/>
    <w:rsid w:val="00F87D03"/>
    <w:rsid w:val="00F9652C"/>
    <w:rsid w:val="00FB1B77"/>
    <w:rsid w:val="00FB3DEB"/>
    <w:rsid w:val="00FD1F90"/>
    <w:rsid w:val="00FE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2B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2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1567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8629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00684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399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3879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7039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8774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9151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9296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3283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528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7121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7845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5290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2261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749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6911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528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3010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8417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86037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4889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1507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459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1205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4828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5436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77687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9328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3917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625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1162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3462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6859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2320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5117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8505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68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75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0344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0302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8493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8738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0988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384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8920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3245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60742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3634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2316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3157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29672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700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3810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807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Consiglio Regionale del Veneto</Company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FRACASSO STEFANO</dc:creator>
  <cp:lastModifiedBy>SCOPELLITI IRENE</cp:lastModifiedBy>
  <cp:revision>20</cp:revision>
  <dcterms:created xsi:type="dcterms:W3CDTF">2018-10-10T11:41:00Z</dcterms:created>
  <dcterms:modified xsi:type="dcterms:W3CDTF">2018-10-11T14:47:00Z</dcterms:modified>
</cp:coreProperties>
</file>